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pPr w:leftFromText="180" w:rightFromText="180" w:vertAnchor="text" w:tblpY="1"/>
        <w:tblOverlap w:val="neve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2"/>
      </w:tblGrid>
      <w:tr w:rsidR="0079239C" w14:paraId="5881F4FF" w14:textId="77777777" w:rsidTr="00475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072" w:type="dxa"/>
              <w:tblCellSpacing w:w="0" w:type="dxa"/>
              <w:tblCellMar>
                <w:left w:w="0" w:type="dxa"/>
                <w:right w:w="0" w:type="dxa"/>
              </w:tblCellMar>
              <w:tblLook w:val="04A0" w:firstRow="1" w:lastRow="0" w:firstColumn="1" w:lastColumn="0" w:noHBand="0" w:noVBand="1"/>
            </w:tblPr>
            <w:tblGrid>
              <w:gridCol w:w="9060"/>
              <w:gridCol w:w="6"/>
              <w:gridCol w:w="6"/>
            </w:tblGrid>
            <w:tr w:rsidR="003A0526" w14:paraId="1115A2B9" w14:textId="77777777" w:rsidTr="003A0526">
              <w:trPr>
                <w:tblCellSpacing w:w="0" w:type="dxa"/>
              </w:trPr>
              <w:tc>
                <w:tcPr>
                  <w:tcW w:w="9060" w:type="dxa"/>
                  <w:shd w:val="clear" w:color="auto" w:fill="FFFFFF" w:themeFill="background1"/>
                  <w:vAlign w:val="center"/>
                  <w:hideMark/>
                </w:tcPr>
                <w:p w14:paraId="42B06376" w14:textId="44B4A9E4" w:rsidR="003A0526" w:rsidRPr="00B804DB" w:rsidRDefault="003A0526" w:rsidP="003A0526">
                  <w:pPr>
                    <w:framePr w:hSpace="180" w:wrap="around" w:vAnchor="text" w:hAnchor="text" w:y="1"/>
                    <w:spacing w:before="240"/>
                    <w:suppressOverlap/>
                  </w:pPr>
                  <w:r>
                    <w:rPr>
                      <w:rFonts w:eastAsia="Times New Roman"/>
                    </w:rPr>
                    <w:t xml:space="preserve">       </w:t>
                  </w:r>
                  <w:r>
                    <w:rPr>
                      <w:noProof/>
                    </w:rPr>
                    <w:drawing>
                      <wp:inline distT="0" distB="0" distL="0" distR="0" wp14:anchorId="61E66FE2" wp14:editId="5A39F335">
                        <wp:extent cx="2700867" cy="450194"/>
                        <wp:effectExtent l="0" t="0" r="0" b="0"/>
                        <wp:docPr id="7" name="Picture 7" descr="BlueCross BlueShield and Blue365 Logos with the trademarked tagline, &quot;Because health is a big de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Cross BlueShield and Blue365 Logos with the trademarked tagline, &quot;Because health is a big deal&quot;"/>
                                <pic:cNvPicPr/>
                              </pic:nvPicPr>
                              <pic:blipFill>
                                <a:blip r:embed="rId7">
                                  <a:extLst>
                                    <a:ext uri="{28A0092B-C50C-407E-A947-70E740481C1C}">
                                      <a14:useLocalDpi xmlns:a14="http://schemas.microsoft.com/office/drawing/2010/main" val="0"/>
                                    </a:ext>
                                  </a:extLst>
                                </a:blip>
                                <a:stretch>
                                  <a:fillRect/>
                                </a:stretch>
                              </pic:blipFill>
                              <pic:spPr>
                                <a:xfrm>
                                  <a:off x="0" y="0"/>
                                  <a:ext cx="2700867" cy="450194"/>
                                </a:xfrm>
                                <a:prstGeom prst="rect">
                                  <a:avLst/>
                                </a:prstGeom>
                              </pic:spPr>
                            </pic:pic>
                          </a:graphicData>
                        </a:graphic>
                      </wp:inline>
                    </w:drawing>
                  </w:r>
                </w:p>
              </w:tc>
              <w:tc>
                <w:tcPr>
                  <w:tcW w:w="6" w:type="dxa"/>
                </w:tcPr>
                <w:p w14:paraId="03E4790B" w14:textId="77777777" w:rsidR="003A0526" w:rsidRDefault="003A0526" w:rsidP="003A0526">
                  <w:pPr>
                    <w:framePr w:hSpace="180" w:wrap="around" w:vAnchor="text" w:hAnchor="text" w:y="1"/>
                    <w:suppressOverlap/>
                    <w:rPr>
                      <w:rFonts w:eastAsia="Times New Roman"/>
                      <w:noProof/>
                    </w:rPr>
                  </w:pPr>
                </w:p>
              </w:tc>
              <w:tc>
                <w:tcPr>
                  <w:tcW w:w="0" w:type="auto"/>
                </w:tcPr>
                <w:p w14:paraId="6F043FEF" w14:textId="77777777" w:rsidR="003A0526" w:rsidRDefault="003A0526" w:rsidP="003A0526">
                  <w:pPr>
                    <w:framePr w:hSpace="180" w:wrap="around" w:vAnchor="text" w:hAnchor="text" w:y="1"/>
                    <w:suppressOverlap/>
                    <w:rPr>
                      <w:rFonts w:eastAsia="Times New Roman"/>
                      <w:noProof/>
                    </w:rPr>
                  </w:pPr>
                </w:p>
              </w:tc>
            </w:tr>
            <w:tr w:rsidR="003A0526" w14:paraId="7FB8C32C" w14:textId="77777777" w:rsidTr="003A0526">
              <w:trPr>
                <w:tblCellSpacing w:w="0" w:type="dxa"/>
              </w:trPr>
              <w:tc>
                <w:tcPr>
                  <w:tcW w:w="9060" w:type="dxa"/>
                  <w:shd w:val="clear" w:color="auto" w:fill="FFFFFF" w:themeFill="background1"/>
                  <w:vAlign w:val="center"/>
                </w:tcPr>
                <w:p w14:paraId="06104018" w14:textId="77777777" w:rsidR="003A0526" w:rsidRDefault="00000000" w:rsidP="003A0526">
                  <w:pPr>
                    <w:framePr w:hSpace="180" w:wrap="around" w:vAnchor="text" w:hAnchor="text" w:y="1"/>
                    <w:suppressOverlap/>
                    <w:rPr>
                      <w:rFonts w:eastAsia="Times New Roman"/>
                    </w:rPr>
                  </w:pPr>
                  <w:r>
                    <w:rPr>
                      <w:rFonts w:eastAsia="Times New Roman"/>
                      <w:noProof/>
                    </w:rPr>
                    <w:pict w14:anchorId="6326F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ail Header" style="width:452pt;height:200.5pt;mso-width-percent:0;mso-height-percent:0;mso-width-percent:0;mso-height-percent:0">
                        <v:imagedata r:id="rId8" o:title="Email Header"/>
                      </v:shape>
                    </w:pict>
                  </w:r>
                </w:p>
              </w:tc>
              <w:tc>
                <w:tcPr>
                  <w:tcW w:w="6" w:type="dxa"/>
                </w:tcPr>
                <w:p w14:paraId="387784A1" w14:textId="77777777" w:rsidR="003A0526" w:rsidRDefault="003A0526" w:rsidP="003A0526">
                  <w:pPr>
                    <w:framePr w:hSpace="180" w:wrap="around" w:vAnchor="text" w:hAnchor="text" w:y="1"/>
                    <w:suppressOverlap/>
                    <w:rPr>
                      <w:rFonts w:eastAsia="Times New Roman"/>
                      <w:noProof/>
                    </w:rPr>
                  </w:pPr>
                </w:p>
              </w:tc>
              <w:tc>
                <w:tcPr>
                  <w:tcW w:w="0" w:type="auto"/>
                </w:tcPr>
                <w:p w14:paraId="5C27D8E5" w14:textId="77777777" w:rsidR="003A0526" w:rsidRDefault="003A0526" w:rsidP="003A0526">
                  <w:pPr>
                    <w:framePr w:hSpace="180" w:wrap="around" w:vAnchor="text" w:hAnchor="text" w:y="1"/>
                    <w:suppressOverlap/>
                    <w:rPr>
                      <w:rFonts w:eastAsia="Times New Roman"/>
                      <w:noProof/>
                    </w:rPr>
                  </w:pPr>
                </w:p>
              </w:tc>
            </w:tr>
            <w:tr w:rsidR="003A0526" w14:paraId="47A826C9" w14:textId="77777777" w:rsidTr="003A0526">
              <w:trPr>
                <w:trHeight w:val="3150"/>
                <w:tblCellSpacing w:w="0" w:type="dxa"/>
              </w:trPr>
              <w:tc>
                <w:tcPr>
                  <w:tcW w:w="9060" w:type="dxa"/>
                  <w:shd w:val="clear" w:color="auto" w:fill="FFFFFF" w:themeFill="background1"/>
                  <w:vAlign w:val="center"/>
                  <w:hideMark/>
                </w:tcPr>
                <w:p w14:paraId="6E246418" w14:textId="77777777" w:rsidR="003A0526" w:rsidRDefault="003A0526" w:rsidP="003A0526">
                  <w:pPr>
                    <w:pStyle w:val="BodyText"/>
                    <w:framePr w:hSpace="180" w:wrap="around" w:vAnchor="text" w:hAnchor="text" w:y="1"/>
                    <w:suppressOverlap/>
                  </w:pPr>
                </w:p>
                <w:p w14:paraId="0520E954" w14:textId="2C442D9F" w:rsidR="003A0526" w:rsidRDefault="00822A03" w:rsidP="003A0526">
                  <w:pPr>
                    <w:pStyle w:val="BodyText"/>
                    <w:framePr w:hSpace="180" w:wrap="around" w:vAnchor="text" w:hAnchor="text" w:y="1"/>
                    <w:spacing w:line="400" w:lineRule="exact"/>
                    <w:suppressOverlap/>
                    <w:rPr>
                      <w:rFonts w:ascii="Arial Bold" w:hAnsi="Arial Bold" w:hint="eastAsia"/>
                      <w:b/>
                      <w:color w:val="33AEEB" w:themeColor="background2" w:themeShade="BF"/>
                      <w:sz w:val="40"/>
                    </w:rPr>
                  </w:pPr>
                  <w:r w:rsidRPr="00822A03">
                    <w:rPr>
                      <w:rFonts w:ascii="Arial Bold" w:hAnsi="Arial Bold"/>
                      <w:b/>
                      <w:color w:val="33AEEB" w:themeColor="background2" w:themeShade="BF"/>
                      <w:sz w:val="40"/>
                    </w:rPr>
                    <w:t>Su salud es nuestra prioridad</w:t>
                  </w:r>
                </w:p>
                <w:p w14:paraId="49DC2241" w14:textId="77777777" w:rsidR="00822A03" w:rsidRDefault="00822A03" w:rsidP="00822A03">
                  <w:pPr>
                    <w:pStyle w:val="BodyText"/>
                    <w:framePr w:hSpace="180" w:wrap="around" w:vAnchor="text" w:hAnchor="text" w:y="1"/>
                    <w:suppressOverlap/>
                  </w:pPr>
                  <w:r>
                    <w:t xml:space="preserve">Aquí en </w:t>
                  </w:r>
                  <w:r w:rsidRPr="00822A03">
                    <w:rPr>
                      <w:highlight w:val="yellow"/>
                    </w:rPr>
                    <w:t>[Company name]</w:t>
                  </w:r>
                  <w:r>
                    <w:t xml:space="preserve"> siempre estamos buscando maneras de ayudar a los empleados a disfrutar de una vida más feliz y saludable. Nos enorgullece ofrecerle Blue365, un programa gratuito de </w:t>
                  </w:r>
                  <w:r w:rsidRPr="00822A03">
                    <w:rPr>
                      <w:highlight w:val="yellow"/>
                    </w:rPr>
                    <w:t>[Blue Cross Blue Shield of Geography]</w:t>
                  </w:r>
                  <w:r>
                    <w:t xml:space="preserve"> que le brinda ofertas exclusivas de salud y bienestar para conservar un estilo de vida saludable, sencillo y económico.  </w:t>
                  </w:r>
                </w:p>
                <w:p w14:paraId="5E7BD34A" w14:textId="26013351" w:rsidR="003A0526" w:rsidRDefault="00822A03" w:rsidP="00822A03">
                  <w:pPr>
                    <w:pStyle w:val="BodyText"/>
                    <w:framePr w:hSpace="180" w:wrap="around" w:vAnchor="text" w:hAnchor="text" w:y="1"/>
                    <w:suppressOverlap/>
                  </w:pPr>
                  <w:r>
                    <w:t xml:space="preserve">Blue365 trabaja con los distribuidores locales y nacionales más importantes para darle acceso a descuentos insuperables en equipo de acondicionamiento físico, membresías de gimnasios, cuidado de la vista, opciones de alimentos saludables y mucho más.  Ahorre en productos de marcas tan importantes como Fitbit®, Skechers®, </w:t>
                  </w:r>
                  <w:r w:rsidR="005312FE">
                    <w:t>Garmin</w:t>
                  </w:r>
                  <w:r>
                    <w:t xml:space="preserve">® y más. Comenzar es muy fácil y rápido. Además, después de registrarse, usted recibirá ofertas y consejos de bienestar directo en su bandeja de entrada. Solo vaya a la página web </w:t>
                  </w:r>
                  <w:hyperlink r:id="rId9" w:history="1">
                    <w:r w:rsidRPr="00822A03">
                      <w:rPr>
                        <w:rStyle w:val="Hyperlink"/>
                        <w:rFonts w:ascii="Arial" w:hAnsi="Arial"/>
                      </w:rPr>
                      <w:t>www.Blue365deals.com</w:t>
                    </w:r>
                  </w:hyperlink>
                  <w:r>
                    <w:t xml:space="preserve"> ¡e inscríbase hoy mismo!</w:t>
                  </w:r>
                </w:p>
                <w:p w14:paraId="0047C9EC" w14:textId="5D1A12FD" w:rsidR="003A0526" w:rsidRDefault="003A0526" w:rsidP="003A0526">
                  <w:pPr>
                    <w:pStyle w:val="BodyText"/>
                    <w:framePr w:hSpace="180" w:wrap="around" w:vAnchor="text" w:hAnchor="text" w:y="1"/>
                    <w:suppressOverlap/>
                  </w:pPr>
                </w:p>
                <w:p w14:paraId="539E53B9" w14:textId="2195B231" w:rsidR="003A0526" w:rsidRDefault="003A0526" w:rsidP="003A0526">
                  <w:pPr>
                    <w:pStyle w:val="BodyText"/>
                    <w:framePr w:hSpace="180" w:wrap="around" w:vAnchor="text" w:hAnchor="text" w:y="1"/>
                    <w:suppressOverlap/>
                  </w:pPr>
                </w:p>
                <w:p w14:paraId="4F659C5E" w14:textId="68C668BC" w:rsidR="003A0526" w:rsidRDefault="00551523" w:rsidP="00112247">
                  <w:pPr>
                    <w:pStyle w:val="BodyText"/>
                    <w:framePr w:hSpace="180" w:wrap="around" w:vAnchor="text" w:hAnchor="text" w:y="1"/>
                    <w:suppressOverlap/>
                    <w:jc w:val="center"/>
                  </w:pPr>
                  <w:r>
                    <w:rPr>
                      <w:noProof/>
                    </w:rPr>
                    <w:drawing>
                      <wp:inline distT="0" distB="0" distL="0" distR="0" wp14:anchorId="75F2E7FA" wp14:editId="4AF908A0">
                        <wp:extent cx="1485900" cy="571500"/>
                        <wp:effectExtent l="0" t="0" r="0" b="0"/>
                        <wp:docPr id="8" name="Picture 8" descr="Join Blue365 butt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Join Blue365 button">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1512291" cy="581650"/>
                                </a:xfrm>
                                <a:prstGeom prst="rect">
                                  <a:avLst/>
                                </a:prstGeom>
                              </pic:spPr>
                            </pic:pic>
                          </a:graphicData>
                        </a:graphic>
                      </wp:inline>
                    </w:drawing>
                  </w:r>
                </w:p>
              </w:tc>
              <w:tc>
                <w:tcPr>
                  <w:tcW w:w="6" w:type="dxa"/>
                  <w:shd w:val="clear" w:color="auto" w:fill="FFFFFF" w:themeFill="background1"/>
                </w:tcPr>
                <w:p w14:paraId="082C9DDD" w14:textId="77777777" w:rsidR="003A0526" w:rsidRPr="00CE5DB6" w:rsidRDefault="003A0526" w:rsidP="003A0526">
                  <w:pPr>
                    <w:pStyle w:val="BodyText"/>
                    <w:framePr w:hSpace="180" w:wrap="around" w:vAnchor="text" w:hAnchor="text" w:y="1"/>
                    <w:suppressOverlap/>
                  </w:pPr>
                </w:p>
              </w:tc>
              <w:tc>
                <w:tcPr>
                  <w:tcW w:w="0" w:type="auto"/>
                  <w:shd w:val="clear" w:color="auto" w:fill="FFFFFF" w:themeFill="background1"/>
                </w:tcPr>
                <w:p w14:paraId="32B0E75A" w14:textId="77777777" w:rsidR="003A0526" w:rsidRPr="00CE5DB6" w:rsidRDefault="003A0526" w:rsidP="003A0526">
                  <w:pPr>
                    <w:pStyle w:val="BodyText"/>
                    <w:framePr w:hSpace="180" w:wrap="around" w:vAnchor="text" w:hAnchor="text" w:y="1"/>
                    <w:suppressOverlap/>
                  </w:pPr>
                </w:p>
              </w:tc>
            </w:tr>
            <w:tr w:rsidR="003A0526" w14:paraId="74BDC77B" w14:textId="77777777" w:rsidTr="003A0526">
              <w:trPr>
                <w:trHeight w:val="3195"/>
                <w:tblCellSpacing w:w="0" w:type="dxa"/>
              </w:trPr>
              <w:tc>
                <w:tcPr>
                  <w:tcW w:w="9060" w:type="dxa"/>
                  <w:shd w:val="clear" w:color="auto" w:fill="DEEBF2"/>
                </w:tcPr>
                <w:p w14:paraId="7CE43780" w14:textId="6A4090B3" w:rsidR="00822A03" w:rsidRDefault="00822A03" w:rsidP="00822A03">
                  <w:pPr>
                    <w:pStyle w:val="LegalDisclaimertext"/>
                    <w:framePr w:hSpace="180" w:wrap="around" w:vAnchor="text" w:hAnchor="text" w:y="1"/>
                    <w:suppressOverlap/>
                  </w:pPr>
                  <w:r>
                    <w:rPr>
                      <w:noProof/>
                    </w:rPr>
                    <w:lastRenderedPageBreak/>
                    <w:drawing>
                      <wp:inline distT="0" distB="0" distL="0" distR="0" wp14:anchorId="6737866E" wp14:editId="166BEDD7">
                        <wp:extent cx="285115" cy="153035"/>
                        <wp:effectExtent l="0" t="0" r="635" b="0"/>
                        <wp:docPr id="2" name="Picture 2" descr="Blue365 Footer Disclos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365 Footer Disclosur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153035"/>
                                </a:xfrm>
                                <a:prstGeom prst="rect">
                                  <a:avLst/>
                                </a:prstGeom>
                                <a:noFill/>
                                <a:ln>
                                  <a:noFill/>
                                </a:ln>
                              </pic:spPr>
                            </pic:pic>
                          </a:graphicData>
                        </a:graphic>
                      </wp:inline>
                    </w:drawing>
                  </w:r>
                  <w:r>
                    <w:t xml:space="preserve"> © 2000-20</w:t>
                  </w:r>
                  <w:r w:rsidR="000A7D32">
                    <w:t>2</w:t>
                  </w:r>
                  <w:r w:rsidR="005312FE">
                    <w:t>3</w:t>
                  </w:r>
                  <w:r>
                    <w:t xml:space="preserve"> Blue Cross and Blue Shield Association — Todos los Derechos Reservados. El programa Blue365 es presentado a usted por Blue Cross and Blue Shield Association. Blue Cross and Blue Shield Association es una asociación de Compañías Blue Cross y/o Blue Shield independientes que operan a nivel local. Blue Cross and Blue Shield of Geography es un licenciatario independiente de Blue Cross and Blue Shield Association.</w:t>
                  </w:r>
                </w:p>
                <w:p w14:paraId="0628B2E4" w14:textId="5A321672" w:rsidR="003A0526" w:rsidRDefault="00822A03" w:rsidP="00822A03">
                  <w:pPr>
                    <w:pStyle w:val="LegalDisclaimertext"/>
                    <w:framePr w:hSpace="180" w:wrap="around" w:vAnchor="text" w:hAnchor="text" w:y="1"/>
                    <w:suppressOverlap/>
                  </w:pPr>
                  <w:r>
                    <w:t>Blue365 ofrece acceso a ahorros en productos y servicios de salud y bienestar, y otros artículos interesantes que los Miembros pueden comprar a distribuidores independientes, que son diferentes de no los beneficios cubiertos bajo sus pólizas con su Compañía Blue local, sus contratos con Medicare, o cualquier otro programa federal de servicios de salud aplicable. Estos productos y servicios se ofrecen a través de todo el año de beneficios. Durante el año, los proveedores independientes pueden ofrecer descuentos adicionales sobre estos productos y servicios. Para averiguar qué es lo que está cubierto bajo sus pólizas, comuníquese con su Compañía Blue local. Los productos y servicios descritos en el Sitio no se ofrecen ni se garantizan bajo el contrato de su Compañía Blue con el programa de Medicare. Además, no están sujetos al proceso de apelaciones de Medicare. Cualquier disputa sobre los productos y servicios de su seguro de salud podría estar sujeta al proceso de quejas de su Compañía Blue. BCBSA podría recibir pagos de distribuidores que provean productos y servicios en el Sitio o mediante el mismo. Ni BCBSA ni ninguna Compañía Blue recomiendan, respaldan o garantizan ningún distribuidor, producto o servicio en particular disponible bajo o mediante el Programa Blue365 o el Sitio, ni otorgan garantías sobre ninguno de ellos.</w:t>
                  </w:r>
                </w:p>
              </w:tc>
              <w:tc>
                <w:tcPr>
                  <w:tcW w:w="6" w:type="dxa"/>
                  <w:shd w:val="clear" w:color="auto" w:fill="DEEBF2"/>
                </w:tcPr>
                <w:p w14:paraId="626397D0" w14:textId="77777777" w:rsidR="003A0526" w:rsidRPr="00D56399" w:rsidRDefault="003A0526" w:rsidP="003A0526">
                  <w:pPr>
                    <w:pStyle w:val="LegalDisclaimertext"/>
                    <w:framePr w:hSpace="180" w:wrap="around" w:vAnchor="text" w:hAnchor="text" w:y="1"/>
                    <w:suppressOverlap/>
                  </w:pPr>
                </w:p>
              </w:tc>
              <w:tc>
                <w:tcPr>
                  <w:tcW w:w="0" w:type="auto"/>
                  <w:shd w:val="clear" w:color="auto" w:fill="DEEBF2"/>
                </w:tcPr>
                <w:p w14:paraId="21C3EF3D" w14:textId="77777777" w:rsidR="003A0526" w:rsidRPr="00D56399" w:rsidRDefault="003A0526" w:rsidP="003A0526">
                  <w:pPr>
                    <w:pStyle w:val="LegalDisclaimertext"/>
                    <w:framePr w:hSpace="180" w:wrap="around" w:vAnchor="text" w:hAnchor="text" w:y="1"/>
                    <w:suppressOverlap/>
                  </w:pPr>
                </w:p>
              </w:tc>
            </w:tr>
            <w:tr w:rsidR="003A0526" w14:paraId="12DE81BB" w14:textId="77777777" w:rsidTr="003A0526">
              <w:trPr>
                <w:trHeight w:val="450"/>
                <w:tblCellSpacing w:w="0" w:type="dxa"/>
              </w:trPr>
              <w:tc>
                <w:tcPr>
                  <w:tcW w:w="9060" w:type="dxa"/>
                  <w:shd w:val="clear" w:color="auto" w:fill="003359" w:themeFill="accent3"/>
                  <w:vAlign w:val="center"/>
                  <w:hideMark/>
                </w:tcPr>
                <w:p w14:paraId="2F9AAF19" w14:textId="53807EDC" w:rsidR="003A0526" w:rsidRPr="009738BF" w:rsidRDefault="00822A03" w:rsidP="003A0526">
                  <w:pPr>
                    <w:pStyle w:val="Footer"/>
                    <w:framePr w:hSpace="180" w:wrap="around" w:vAnchor="text" w:hAnchor="text" w:y="1"/>
                    <w:suppressOverlap/>
                  </w:pPr>
                  <w:r>
                    <w:t>Para encontrar más información acerca de Blue 365, visítenos en la página web</w:t>
                  </w:r>
                  <w:r>
                    <w:rPr>
                      <w:rStyle w:val="Hyperlink"/>
                      <w:rFonts w:ascii="Verdana" w:hAnsi="Verdana"/>
                      <w:sz w:val="18"/>
                    </w:rPr>
                    <w:t xml:space="preserve"> </w:t>
                  </w:r>
                  <w:hyperlink r:id="rId13" w:history="1">
                    <w:r w:rsidR="003A0526" w:rsidRPr="006006C4">
                      <w:rPr>
                        <w:rStyle w:val="Hyperlink"/>
                        <w:rFonts w:ascii="Verdana" w:hAnsi="Verdana"/>
                        <w:sz w:val="18"/>
                      </w:rPr>
                      <w:t>www.blue365deals.com</w:t>
                    </w:r>
                  </w:hyperlink>
                  <w:r w:rsidR="003A0526">
                    <w:t xml:space="preserve"> </w:t>
                  </w:r>
                </w:p>
              </w:tc>
              <w:tc>
                <w:tcPr>
                  <w:tcW w:w="6" w:type="dxa"/>
                  <w:shd w:val="clear" w:color="auto" w:fill="003359" w:themeFill="accent3"/>
                </w:tcPr>
                <w:p w14:paraId="5C3C1DD5" w14:textId="77777777" w:rsidR="003A0526" w:rsidRPr="0006475D" w:rsidRDefault="003A0526" w:rsidP="003A0526">
                  <w:pPr>
                    <w:pStyle w:val="Footer"/>
                    <w:framePr w:hSpace="180" w:wrap="around" w:vAnchor="text" w:hAnchor="text" w:y="1"/>
                    <w:suppressOverlap/>
                    <w:rPr>
                      <w:rStyle w:val="BodyTextChar"/>
                    </w:rPr>
                  </w:pPr>
                </w:p>
              </w:tc>
              <w:tc>
                <w:tcPr>
                  <w:tcW w:w="0" w:type="auto"/>
                  <w:shd w:val="clear" w:color="auto" w:fill="003359" w:themeFill="accent3"/>
                </w:tcPr>
                <w:p w14:paraId="095166B9" w14:textId="77777777" w:rsidR="003A0526" w:rsidRPr="0006475D" w:rsidRDefault="003A0526" w:rsidP="003A0526">
                  <w:pPr>
                    <w:pStyle w:val="Footer"/>
                    <w:framePr w:hSpace="180" w:wrap="around" w:vAnchor="text" w:hAnchor="text" w:y="1"/>
                    <w:suppressOverlap/>
                    <w:rPr>
                      <w:rStyle w:val="BodyTextChar"/>
                    </w:rPr>
                  </w:pPr>
                </w:p>
              </w:tc>
            </w:tr>
          </w:tbl>
          <w:p w14:paraId="7D239116" w14:textId="77777777" w:rsidR="0079239C" w:rsidRDefault="0079239C" w:rsidP="004751DD">
            <w:pPr>
              <w:rPr>
                <w:rFonts w:eastAsia="Times New Roman"/>
              </w:rPr>
            </w:pPr>
          </w:p>
        </w:tc>
      </w:tr>
    </w:tbl>
    <w:p w14:paraId="0CA0CC28" w14:textId="77777777" w:rsidR="00564E56" w:rsidRPr="00564E56" w:rsidRDefault="004751DD">
      <w:pPr>
        <w:rPr>
          <w:sz w:val="12"/>
        </w:rPr>
      </w:pPr>
      <w:r>
        <w:rPr>
          <w:sz w:val="12"/>
        </w:rPr>
        <w:lastRenderedPageBreak/>
        <w:br w:type="textWrapping" w:clear="all"/>
      </w:r>
    </w:p>
    <w:tbl>
      <w:tblPr>
        <w:tblW w:w="9060" w:type="dxa"/>
        <w:tblInd w:w="-8" w:type="dxa"/>
        <w:tblLook w:val="0000" w:firstRow="0" w:lastRow="0" w:firstColumn="0" w:lastColumn="0" w:noHBand="0" w:noVBand="0"/>
      </w:tblPr>
      <w:tblGrid>
        <w:gridCol w:w="9060"/>
      </w:tblGrid>
      <w:tr w:rsidR="00564E56" w:rsidRPr="00564E56" w14:paraId="0D31081E" w14:textId="77777777" w:rsidTr="00564E56">
        <w:trPr>
          <w:trHeight w:val="270"/>
        </w:trPr>
        <w:tc>
          <w:tcPr>
            <w:tcW w:w="9060" w:type="dxa"/>
            <w:tcMar>
              <w:left w:w="0" w:type="dxa"/>
              <w:right w:w="115" w:type="dxa"/>
            </w:tcMar>
          </w:tcPr>
          <w:p w14:paraId="0FC4D521" w14:textId="77777777" w:rsidR="00564E56" w:rsidRPr="00564E56" w:rsidRDefault="00564E56" w:rsidP="00671062">
            <w:pPr>
              <w:pStyle w:val="DisclaimerText"/>
              <w:rPr>
                <w:rFonts w:cs="Times New Roman"/>
                <w:szCs w:val="24"/>
              </w:rPr>
            </w:pPr>
          </w:p>
        </w:tc>
      </w:tr>
    </w:tbl>
    <w:p w14:paraId="2D11120F" w14:textId="77777777" w:rsidR="0079239C" w:rsidRDefault="0079239C">
      <w:pPr>
        <w:rPr>
          <w:rFonts w:eastAsia="Times New Roman"/>
        </w:rPr>
      </w:pPr>
    </w:p>
    <w:sectPr w:rsidR="0079239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4442" w14:textId="77777777" w:rsidR="00A6374F" w:rsidRDefault="00A6374F" w:rsidP="00073C12">
      <w:r>
        <w:separator/>
      </w:r>
    </w:p>
  </w:endnote>
  <w:endnote w:type="continuationSeparator" w:id="0">
    <w:p w14:paraId="7193FDE6" w14:textId="77777777" w:rsidR="00A6374F" w:rsidRDefault="00A6374F" w:rsidP="0007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4817" w14:textId="77777777" w:rsidR="00100C6F" w:rsidRDefault="00100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D535" w14:textId="77777777" w:rsidR="00100C6F" w:rsidRDefault="00100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D16F" w14:textId="77777777" w:rsidR="00100C6F" w:rsidRDefault="0010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7C5F" w14:textId="77777777" w:rsidR="00A6374F" w:rsidRDefault="00A6374F" w:rsidP="00073C12">
      <w:r>
        <w:separator/>
      </w:r>
    </w:p>
  </w:footnote>
  <w:footnote w:type="continuationSeparator" w:id="0">
    <w:p w14:paraId="16FA48F6" w14:textId="77777777" w:rsidR="00A6374F" w:rsidRDefault="00A6374F" w:rsidP="0007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6711" w14:textId="77777777" w:rsidR="00100C6F" w:rsidRDefault="00100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466D" w14:textId="77777777" w:rsidR="00100C6F" w:rsidRDefault="00100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BC43" w14:textId="77777777" w:rsidR="00100C6F" w:rsidRDefault="00100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7A"/>
    <w:rsid w:val="0006475D"/>
    <w:rsid w:val="00073C12"/>
    <w:rsid w:val="00094E7A"/>
    <w:rsid w:val="000A7D32"/>
    <w:rsid w:val="00100C6F"/>
    <w:rsid w:val="00112247"/>
    <w:rsid w:val="00114786"/>
    <w:rsid w:val="001335D9"/>
    <w:rsid w:val="00135D35"/>
    <w:rsid w:val="001439F0"/>
    <w:rsid w:val="00145374"/>
    <w:rsid w:val="00193975"/>
    <w:rsid w:val="00194A58"/>
    <w:rsid w:val="001C048B"/>
    <w:rsid w:val="001E6F61"/>
    <w:rsid w:val="00286BB1"/>
    <w:rsid w:val="002940B0"/>
    <w:rsid w:val="002B1443"/>
    <w:rsid w:val="00321F1B"/>
    <w:rsid w:val="00374AB6"/>
    <w:rsid w:val="003A0526"/>
    <w:rsid w:val="004335F7"/>
    <w:rsid w:val="004751DD"/>
    <w:rsid w:val="00484D67"/>
    <w:rsid w:val="00527908"/>
    <w:rsid w:val="005312FE"/>
    <w:rsid w:val="00551523"/>
    <w:rsid w:val="00553341"/>
    <w:rsid w:val="00564E56"/>
    <w:rsid w:val="005D5478"/>
    <w:rsid w:val="005E1069"/>
    <w:rsid w:val="00614799"/>
    <w:rsid w:val="00671062"/>
    <w:rsid w:val="006A2BF7"/>
    <w:rsid w:val="006D4735"/>
    <w:rsid w:val="00704665"/>
    <w:rsid w:val="0071355C"/>
    <w:rsid w:val="00717469"/>
    <w:rsid w:val="0079239C"/>
    <w:rsid w:val="00822A03"/>
    <w:rsid w:val="00860101"/>
    <w:rsid w:val="008872CD"/>
    <w:rsid w:val="008E753B"/>
    <w:rsid w:val="0095108E"/>
    <w:rsid w:val="00957E94"/>
    <w:rsid w:val="009A78DB"/>
    <w:rsid w:val="009D52EC"/>
    <w:rsid w:val="00A6374F"/>
    <w:rsid w:val="00A665BC"/>
    <w:rsid w:val="00AB375E"/>
    <w:rsid w:val="00AE6BF1"/>
    <w:rsid w:val="00B5100D"/>
    <w:rsid w:val="00B804DB"/>
    <w:rsid w:val="00BA11E9"/>
    <w:rsid w:val="00BD125B"/>
    <w:rsid w:val="00C73567"/>
    <w:rsid w:val="00D41C3B"/>
    <w:rsid w:val="00D75655"/>
    <w:rsid w:val="00DC2B22"/>
    <w:rsid w:val="00DF09E3"/>
    <w:rsid w:val="00E7141E"/>
    <w:rsid w:val="00FA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B4966"/>
  <w15:docId w15:val="{E8271333-B741-4681-ABCE-82F25948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62"/>
    <w:rPr>
      <w:rFonts w:eastAsiaTheme="minorEastAsia"/>
      <w:sz w:val="24"/>
      <w:szCs w:val="24"/>
    </w:rPr>
  </w:style>
  <w:style w:type="paragraph" w:styleId="Heading1">
    <w:name w:val="heading 1"/>
    <w:basedOn w:val="BodyText"/>
    <w:next w:val="Normal"/>
    <w:link w:val="Heading1Char"/>
    <w:uiPriority w:val="9"/>
    <w:qFormat/>
    <w:rsid w:val="008872CD"/>
    <w:pPr>
      <w:spacing w:before="360"/>
      <w:outlineLvl w:val="0"/>
    </w:pPr>
    <w:rPr>
      <w:rFonts w:eastAsia="Times New Roman"/>
      <w:b/>
      <w:color w:val="006086" w:themeColor="accent2"/>
      <w:sz w:val="24"/>
    </w:rPr>
  </w:style>
  <w:style w:type="paragraph" w:styleId="Heading2">
    <w:name w:val="heading 2"/>
    <w:next w:val="Normal"/>
    <w:link w:val="Heading2Char"/>
    <w:uiPriority w:val="9"/>
    <w:unhideWhenUsed/>
    <w:qFormat/>
    <w:rsid w:val="00094E7A"/>
    <w:pPr>
      <w:shd w:val="clear" w:color="auto" w:fill="0099D8" w:themeFill="accent1"/>
      <w:tabs>
        <w:tab w:val="left" w:pos="1957"/>
        <w:tab w:val="left" w:pos="3757"/>
      </w:tabs>
      <w:ind w:left="427" w:right="383"/>
      <w:outlineLvl w:val="1"/>
    </w:pPr>
    <w:rPr>
      <w:rFonts w:ascii="Arial Bold" w:eastAsia="MS Mincho" w:hAnsi="Arial Bold" w:cs="Arial"/>
      <w:b/>
      <w:caps/>
      <w:color w:val="FFFFFF" w:themeColor="background1"/>
      <w:spacing w:val="20"/>
    </w:rPr>
  </w:style>
  <w:style w:type="paragraph" w:styleId="Heading3">
    <w:name w:val="heading 3"/>
    <w:basedOn w:val="Normal"/>
    <w:next w:val="Normal"/>
    <w:link w:val="Heading3Char"/>
    <w:uiPriority w:val="9"/>
    <w:unhideWhenUsed/>
    <w:qFormat/>
    <w:rsid w:val="0006475D"/>
    <w:pPr>
      <w:keepNext/>
      <w:keepLines/>
      <w:spacing w:before="200"/>
      <w:outlineLvl w:val="2"/>
    </w:pPr>
    <w:rPr>
      <w:rFonts w:asciiTheme="majorHAnsi" w:eastAsiaTheme="majorEastAsia" w:hAnsiTheme="majorHAnsi" w:cstheme="majorBidi"/>
      <w:b/>
      <w:bCs/>
      <w:color w:val="0099D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E7A"/>
    <w:rPr>
      <w:rFonts w:ascii="Tahoma" w:hAnsi="Tahoma" w:cs="Tahoma"/>
      <w:sz w:val="16"/>
      <w:szCs w:val="16"/>
    </w:rPr>
  </w:style>
  <w:style w:type="character" w:customStyle="1" w:styleId="BalloonTextChar">
    <w:name w:val="Balloon Text Char"/>
    <w:basedOn w:val="DefaultParagraphFont"/>
    <w:link w:val="BalloonText"/>
    <w:uiPriority w:val="99"/>
    <w:semiHidden/>
    <w:rsid w:val="00094E7A"/>
    <w:rPr>
      <w:rFonts w:ascii="Tahoma" w:eastAsiaTheme="minorEastAsia" w:hAnsi="Tahoma" w:cs="Tahoma"/>
      <w:sz w:val="16"/>
      <w:szCs w:val="16"/>
    </w:rPr>
  </w:style>
  <w:style w:type="paragraph" w:styleId="BodyText">
    <w:name w:val="Body Text"/>
    <w:basedOn w:val="Normal"/>
    <w:link w:val="BodyTextChar"/>
    <w:rsid w:val="00094E7A"/>
    <w:pPr>
      <w:spacing w:before="120" w:after="120" w:line="280" w:lineRule="exact"/>
      <w:ind w:left="446" w:right="288"/>
    </w:pPr>
    <w:rPr>
      <w:rFonts w:ascii="Arial" w:eastAsia="MS Mincho" w:hAnsi="Arial" w:cs="Arial"/>
      <w:sz w:val="20"/>
      <w:szCs w:val="20"/>
    </w:rPr>
  </w:style>
  <w:style w:type="character" w:customStyle="1" w:styleId="BodyTextChar">
    <w:name w:val="Body Text Char"/>
    <w:basedOn w:val="DefaultParagraphFont"/>
    <w:link w:val="BodyText"/>
    <w:rsid w:val="00094E7A"/>
    <w:rPr>
      <w:rFonts w:ascii="Arial" w:eastAsia="MS Mincho" w:hAnsi="Arial" w:cs="Arial"/>
    </w:rPr>
  </w:style>
  <w:style w:type="paragraph" w:styleId="Footer">
    <w:name w:val="footer"/>
    <w:basedOn w:val="Normal"/>
    <w:link w:val="FooterChar"/>
    <w:uiPriority w:val="99"/>
    <w:rsid w:val="00094E7A"/>
    <w:pPr>
      <w:ind w:left="427"/>
    </w:pPr>
    <w:rPr>
      <w:rFonts w:ascii="Verdana" w:eastAsia="MS Mincho" w:hAnsi="Verdana"/>
      <w:color w:val="FFFFFF"/>
      <w:sz w:val="18"/>
      <w:szCs w:val="18"/>
    </w:rPr>
  </w:style>
  <w:style w:type="character" w:customStyle="1" w:styleId="FooterChar">
    <w:name w:val="Footer Char"/>
    <w:basedOn w:val="DefaultParagraphFont"/>
    <w:link w:val="Footer"/>
    <w:uiPriority w:val="99"/>
    <w:rsid w:val="00094E7A"/>
    <w:rPr>
      <w:rFonts w:ascii="Verdana" w:eastAsia="MS Mincho" w:hAnsi="Verdana"/>
      <w:color w:val="FFFFFF"/>
      <w:sz w:val="18"/>
      <w:szCs w:val="18"/>
    </w:rPr>
  </w:style>
  <w:style w:type="character" w:styleId="Hyperlink">
    <w:name w:val="Hyperlink"/>
    <w:uiPriority w:val="99"/>
    <w:rsid w:val="00145374"/>
    <w:rPr>
      <w:rFonts w:asciiTheme="minorHAnsi" w:hAnsiTheme="minorHAnsi"/>
      <w:b/>
      <w:color w:val="0099D8" w:themeColor="accent1"/>
      <w:sz w:val="20"/>
      <w:u w:val="single"/>
    </w:rPr>
  </w:style>
  <w:style w:type="paragraph" w:customStyle="1" w:styleId="JobTitle">
    <w:name w:val="Job Title"/>
    <w:basedOn w:val="Normal"/>
    <w:rsid w:val="00A665BC"/>
    <w:pPr>
      <w:tabs>
        <w:tab w:val="left" w:pos="1957"/>
        <w:tab w:val="left" w:pos="3757"/>
      </w:tabs>
      <w:spacing w:line="280" w:lineRule="exact"/>
      <w:ind w:left="445" w:right="203"/>
    </w:pPr>
    <w:rPr>
      <w:rFonts w:ascii="Arial Bold" w:eastAsia="MS Mincho" w:hAnsi="Arial Bold" w:cs="Arial"/>
      <w:b/>
      <w:color w:val="0091CF"/>
      <w:sz w:val="20"/>
      <w:szCs w:val="20"/>
      <w:u w:val="single"/>
    </w:rPr>
  </w:style>
  <w:style w:type="paragraph" w:customStyle="1" w:styleId="LocationText">
    <w:name w:val="Location Text"/>
    <w:basedOn w:val="BodyText"/>
    <w:rsid w:val="00094E7A"/>
    <w:pPr>
      <w:spacing w:before="0" w:after="0"/>
    </w:pPr>
    <w:rPr>
      <w:b/>
      <w:color w:val="800080"/>
    </w:rPr>
  </w:style>
  <w:style w:type="character" w:styleId="FollowedHyperlink">
    <w:name w:val="FollowedHyperlink"/>
    <w:basedOn w:val="DefaultParagraphFont"/>
    <w:uiPriority w:val="99"/>
    <w:semiHidden/>
    <w:unhideWhenUsed/>
    <w:rsid w:val="00094E7A"/>
    <w:rPr>
      <w:color w:val="0099D8" w:themeColor="followedHyperlink"/>
      <w:u w:val="single"/>
    </w:rPr>
  </w:style>
  <w:style w:type="character" w:customStyle="1" w:styleId="Heading1Char">
    <w:name w:val="Heading 1 Char"/>
    <w:basedOn w:val="DefaultParagraphFont"/>
    <w:link w:val="Heading1"/>
    <w:uiPriority w:val="9"/>
    <w:rsid w:val="008872CD"/>
    <w:rPr>
      <w:rFonts w:ascii="Arial" w:hAnsi="Arial" w:cs="Arial"/>
      <w:b/>
      <w:color w:val="006086" w:themeColor="accent2"/>
      <w:sz w:val="24"/>
    </w:rPr>
  </w:style>
  <w:style w:type="character" w:customStyle="1" w:styleId="Heading2Char">
    <w:name w:val="Heading 2 Char"/>
    <w:basedOn w:val="DefaultParagraphFont"/>
    <w:link w:val="Heading2"/>
    <w:uiPriority w:val="9"/>
    <w:rsid w:val="00094E7A"/>
    <w:rPr>
      <w:rFonts w:ascii="Arial Bold" w:eastAsia="MS Mincho" w:hAnsi="Arial Bold" w:cs="Arial"/>
      <w:b/>
      <w:caps/>
      <w:color w:val="FFFFFF" w:themeColor="background1"/>
      <w:spacing w:val="20"/>
      <w:shd w:val="clear" w:color="auto" w:fill="0099D8" w:themeFill="accent1"/>
    </w:rPr>
  </w:style>
  <w:style w:type="paragraph" w:customStyle="1" w:styleId="JobNumber">
    <w:name w:val="Job Number"/>
    <w:qFormat/>
    <w:rsid w:val="00145374"/>
    <w:pPr>
      <w:tabs>
        <w:tab w:val="left" w:pos="1957"/>
        <w:tab w:val="left" w:pos="3757"/>
      </w:tabs>
      <w:spacing w:line="280" w:lineRule="exact"/>
      <w:ind w:left="445"/>
    </w:pPr>
    <w:rPr>
      <w:rFonts w:ascii="Arial" w:eastAsiaTheme="minorEastAsia" w:hAnsi="Arial" w:cs="Arial"/>
      <w:b/>
      <w:color w:val="003359" w:themeColor="accent3"/>
    </w:rPr>
  </w:style>
  <w:style w:type="paragraph" w:customStyle="1" w:styleId="DisclaimerText">
    <w:name w:val="Disclaimer Text"/>
    <w:basedOn w:val="Normal"/>
    <w:qFormat/>
    <w:rsid w:val="00671062"/>
    <w:rPr>
      <w:rFonts w:asciiTheme="minorHAnsi" w:hAnsiTheme="minorHAnsi" w:cstheme="minorHAnsi"/>
      <w:color w:val="595959" w:themeColor="text1" w:themeTint="A6"/>
      <w:sz w:val="14"/>
      <w:szCs w:val="14"/>
    </w:rPr>
  </w:style>
  <w:style w:type="table" w:styleId="TableGrid">
    <w:name w:val="Table Grid"/>
    <w:basedOn w:val="TableNormal"/>
    <w:uiPriority w:val="59"/>
    <w:rsid w:val="00064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Disclaimertext">
    <w:name w:val="Legal Disclaimer text"/>
    <w:basedOn w:val="BodyText"/>
    <w:qFormat/>
    <w:rsid w:val="0006475D"/>
    <w:pPr>
      <w:tabs>
        <w:tab w:val="left" w:pos="180"/>
      </w:tabs>
      <w:autoSpaceDE w:val="0"/>
      <w:autoSpaceDN w:val="0"/>
      <w:adjustRightInd w:val="0"/>
      <w:spacing w:line="264" w:lineRule="auto"/>
      <w:ind w:left="202" w:right="245"/>
      <w:textAlignment w:val="center"/>
    </w:pPr>
    <w:rPr>
      <w:rFonts w:eastAsia="Calibri"/>
      <w:color w:val="7F7F7F" w:themeColor="text1" w:themeTint="80"/>
      <w:spacing w:val="3"/>
      <w:sz w:val="18"/>
      <w:szCs w:val="19"/>
    </w:rPr>
  </w:style>
  <w:style w:type="character" w:customStyle="1" w:styleId="Heading3Char">
    <w:name w:val="Heading 3 Char"/>
    <w:basedOn w:val="DefaultParagraphFont"/>
    <w:link w:val="Heading3"/>
    <w:uiPriority w:val="9"/>
    <w:rsid w:val="0006475D"/>
    <w:rPr>
      <w:rFonts w:asciiTheme="majorHAnsi" w:eastAsiaTheme="majorEastAsia" w:hAnsiTheme="majorHAnsi" w:cstheme="majorBidi"/>
      <w:b/>
      <w:bCs/>
      <w:color w:val="0099D8" w:themeColor="accent1"/>
      <w:sz w:val="24"/>
      <w:szCs w:val="24"/>
    </w:rPr>
  </w:style>
  <w:style w:type="paragraph" w:styleId="Header">
    <w:name w:val="header"/>
    <w:basedOn w:val="Normal"/>
    <w:link w:val="HeaderChar"/>
    <w:uiPriority w:val="99"/>
    <w:unhideWhenUsed/>
    <w:rsid w:val="00073C12"/>
    <w:pPr>
      <w:tabs>
        <w:tab w:val="center" w:pos="4680"/>
        <w:tab w:val="right" w:pos="9360"/>
      </w:tabs>
    </w:pPr>
  </w:style>
  <w:style w:type="character" w:customStyle="1" w:styleId="HeaderChar">
    <w:name w:val="Header Char"/>
    <w:basedOn w:val="DefaultParagraphFont"/>
    <w:link w:val="Header"/>
    <w:uiPriority w:val="99"/>
    <w:rsid w:val="00073C1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26098">
      <w:bodyDiv w:val="1"/>
      <w:marLeft w:val="0"/>
      <w:marRight w:val="0"/>
      <w:marTop w:val="0"/>
      <w:marBottom w:val="0"/>
      <w:divBdr>
        <w:top w:val="none" w:sz="0" w:space="0" w:color="auto"/>
        <w:left w:val="none" w:sz="0" w:space="0" w:color="auto"/>
        <w:bottom w:val="none" w:sz="0" w:space="0" w:color="auto"/>
        <w:right w:val="none" w:sz="0" w:space="0" w:color="auto"/>
      </w:divBdr>
      <w:divsChild>
        <w:div w:id="1810246279">
          <w:marLeft w:val="0"/>
          <w:marRight w:val="0"/>
          <w:marTop w:val="0"/>
          <w:marBottom w:val="0"/>
          <w:divBdr>
            <w:top w:val="none" w:sz="0" w:space="0" w:color="auto"/>
            <w:left w:val="none" w:sz="0" w:space="0" w:color="auto"/>
            <w:bottom w:val="none" w:sz="0" w:space="0" w:color="auto"/>
            <w:right w:val="none" w:sz="0" w:space="0" w:color="auto"/>
          </w:divBdr>
        </w:div>
        <w:div w:id="41328779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lue365deals.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lue365deals.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chgcluster\deptdata\STRATEGIC%20SERVICES\Blue365\Blue365%20Operations\Marketing\Toolkit%20Materials\Updated%20Toolkit\By%20Audience\B2B\Employer%20Communications\www.Blue365deal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CBSA">
      <a:dk1>
        <a:sysClr val="windowText" lastClr="000000"/>
      </a:dk1>
      <a:lt1>
        <a:sysClr val="window" lastClr="FFFFFF"/>
      </a:lt1>
      <a:dk2>
        <a:srgbClr val="C2DBE8"/>
      </a:dk2>
      <a:lt2>
        <a:srgbClr val="8CD2F4"/>
      </a:lt2>
      <a:accent1>
        <a:srgbClr val="0099D8"/>
      </a:accent1>
      <a:accent2>
        <a:srgbClr val="006086"/>
      </a:accent2>
      <a:accent3>
        <a:srgbClr val="003359"/>
      </a:accent3>
      <a:accent4>
        <a:srgbClr val="F1E5C7"/>
      </a:accent4>
      <a:accent5>
        <a:srgbClr val="8B6900"/>
      </a:accent5>
      <a:accent6>
        <a:srgbClr val="BF311A"/>
      </a:accent6>
      <a:hlink>
        <a:srgbClr val="0099D8"/>
      </a:hlink>
      <a:folHlink>
        <a:srgbClr val="0099D8"/>
      </a:folHlink>
    </a:clrScheme>
    <a:fontScheme name="BCBS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2EE4-E63E-4DB7-8FC7-B19017C5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Untitled Document</vt:lpstr>
    </vt:vector>
  </TitlesOfParts>
  <Company>BCBSA</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Williams, Jerry</dc:creator>
  <cp:lastModifiedBy>Ruiz, Francisco</cp:lastModifiedBy>
  <cp:revision>3</cp:revision>
  <dcterms:created xsi:type="dcterms:W3CDTF">2023-10-12T17:06:00Z</dcterms:created>
  <dcterms:modified xsi:type="dcterms:W3CDTF">2023-10-12T20:50:00Z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72476-9fad-428e-bd1c-a3a17c3bbc75_Enabled">
    <vt:lpwstr>true</vt:lpwstr>
  </property>
  <property fmtid="{D5CDD505-2E9C-101B-9397-08002B2CF9AE}" pid="3" name="MSIP_Label_6a772476-9fad-428e-bd1c-a3a17c3bbc75_SetDate">
    <vt:lpwstr>2023-10-12T15:24:13Z</vt:lpwstr>
  </property>
  <property fmtid="{D5CDD505-2E9C-101B-9397-08002B2CF9AE}" pid="4" name="MSIP_Label_6a772476-9fad-428e-bd1c-a3a17c3bbc75_Method">
    <vt:lpwstr>Standard</vt:lpwstr>
  </property>
  <property fmtid="{D5CDD505-2E9C-101B-9397-08002B2CF9AE}" pid="5" name="MSIP_Label_6a772476-9fad-428e-bd1c-a3a17c3bbc75_Name">
    <vt:lpwstr>Confidential Information</vt:lpwstr>
  </property>
  <property fmtid="{D5CDD505-2E9C-101B-9397-08002B2CF9AE}" pid="6" name="MSIP_Label_6a772476-9fad-428e-bd1c-a3a17c3bbc75_SiteId">
    <vt:lpwstr>bb087376-1284-4173-9385-a6766cdfef8c</vt:lpwstr>
  </property>
  <property fmtid="{D5CDD505-2E9C-101B-9397-08002B2CF9AE}" pid="7" name="MSIP_Label_6a772476-9fad-428e-bd1c-a3a17c3bbc75_ActionId">
    <vt:lpwstr>e6ad9b96-fb3d-4836-a9db-ecd8e24c589d</vt:lpwstr>
  </property>
  <property fmtid="{D5CDD505-2E9C-101B-9397-08002B2CF9AE}" pid="8" name="MSIP_Label_6a772476-9fad-428e-bd1c-a3a17c3bbc75_ContentBits">
    <vt:lpwstr>0</vt:lpwstr>
  </property>
</Properties>
</file>